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37" w:rsidRPr="003C5F37" w:rsidRDefault="003C5F37" w:rsidP="003C5F37">
      <w:pPr>
        <w:shd w:val="clear" w:color="auto" w:fill="E01449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8.</w:t>
      </w:r>
    </w:p>
    <w:p w:rsidR="003C5F37" w:rsidRPr="003C5F37" w:rsidRDefault="003C5F37" w:rsidP="003C5F37">
      <w:pPr>
        <w:shd w:val="clear" w:color="auto" w:fill="808080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Контрольная работа и методические указания по ее выполнению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В соответствии с учебным планом по дисциплине «Теория учета и экономического анализа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медиаорганизации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» бакалавры дистанционной формы обучения выполняют контрольную работу.</w:t>
      </w:r>
      <w:bookmarkStart w:id="0" w:name="_GoBack"/>
      <w:bookmarkEnd w:id="0"/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Целью контрольной работы является закрепление и углубление теоретических знаний по дисциплине, умения пользоваться учебной литературой, грамотное изложение вопроса по существу и по стилю.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Основной формой работы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обучающихся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на дистанционной форме обучения является самостоятельное изучение литературы, перечень которой приводится ранее. Предлагаемый по каждой теме перечень контрольных вопросов позволяет самостоятельно оценить степень усвоения материалов дисциплины. Руководствуясь программой данного курса и методическими указаниями,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обучающиеся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дополняют работу с предложенной литературой своими практическими опытом и знаниями.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Домашняя работа над рекомендованными изданиями и выполнение контрольной работы должны привить студентам навыки работы со специальной литературой, научить аргументированному изложению своих знаний и убеждений в письменной форме. Изучение рекомендуемых источников должно сопровождаться составлением краткого конспекта, самоконтролем полученных знаний путем ответов на поставленные вопросы.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Контрольная работа выполняется в печатной форме и включает в себя как теоретические, так и практические аспекты в рамках изучаемой дисциплины. Задания для контрольной работы составлены в нескольких вариантах.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Перед выбором темы контрольной работы студент должен проработать материал всего курса.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После изучения теоретического материала обучающиеся приступают к выполнению практического задания контрольной работы по вариантам с обязательным изложением указанных вопросов по своей теме.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Структура работы определяется в каждом конкретном случае, но она должна включать введение, основную часть, заключение и библиографический список.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8E8E6"/>
          <w:lang w:eastAsia="ru-RU"/>
        </w:rPr>
        <w:t>Во введении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обосновывается актуальность темы, определяются цель и задачи работы.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8E8E6"/>
          <w:lang w:eastAsia="ru-RU"/>
        </w:rPr>
        <w:t>Основная часть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контрольной работы в развернутой форме раскрывает тему. Она может быть представлена несколькими параграфами, содержать теорию вопроса.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8E8E6"/>
          <w:lang w:eastAsia="ru-RU"/>
        </w:rPr>
        <w:t>Заключительная часть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отводится обобщениям, к которым подводит студента проделанная работа.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8E8E6"/>
          <w:lang w:eastAsia="ru-RU"/>
        </w:rPr>
        <w:t>Библиографический список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литературы содержит перечень всех проработанных в процессе подготовки к написанию работы источников. В тексте работы должны быть ссылки на источники информации.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Контрольная работа является свидетельством того, как студент усвоил материал и какова степень его самостоятельности и индивидуальных возможностей.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Оценка «незачет» ставится за работу, не отвечающую основным требованиям, т.е. не раскрывающую важнейших показателей, содержащую устаревшую статистическую информацию или без статистической информации.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lastRenderedPageBreak/>
        <w:t>Задания для контрольной работы составлены в пяти вариантах:</w:t>
      </w:r>
    </w:p>
    <w:p w:rsidR="003C5F37" w:rsidRPr="003C5F37" w:rsidRDefault="003C5F37" w:rsidP="003C5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первый вариант выполняют студенты, номера зачетных книжек которых оканчиваются на 0 и 5;</w:t>
      </w:r>
    </w:p>
    <w:p w:rsidR="003C5F37" w:rsidRPr="003C5F37" w:rsidRDefault="003C5F37" w:rsidP="003C5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второй вариант - на 1 и 6;</w:t>
      </w:r>
    </w:p>
    <w:p w:rsidR="003C5F37" w:rsidRPr="003C5F37" w:rsidRDefault="003C5F37" w:rsidP="003C5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третий вариант - на 2 и 7;</w:t>
      </w:r>
    </w:p>
    <w:p w:rsidR="003C5F37" w:rsidRPr="003C5F37" w:rsidRDefault="003C5F37" w:rsidP="003C5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четвертый вариант - на 3 и 8;</w:t>
      </w:r>
    </w:p>
    <w:p w:rsidR="003C5F37" w:rsidRPr="003C5F37" w:rsidRDefault="003C5F37" w:rsidP="003C5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пятый вариант - на 4 и 9.</w:t>
      </w:r>
    </w:p>
    <w:p w:rsidR="003C5F37" w:rsidRPr="003C5F37" w:rsidRDefault="003C5F37" w:rsidP="003C5F37">
      <w:pPr>
        <w:shd w:val="clear" w:color="auto" w:fill="F04571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bookmarkStart w:id="1" w:name="8."/>
      <w:bookmarkStart w:id="2" w:name="i408"/>
      <w:bookmarkEnd w:id="1"/>
      <w:bookmarkEnd w:id="2"/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8.1.</w:t>
      </w:r>
    </w:p>
    <w:p w:rsidR="003C5F37" w:rsidRPr="003C5F37" w:rsidRDefault="003C5F37" w:rsidP="003C5F37">
      <w:pPr>
        <w:shd w:val="clear" w:color="auto" w:fill="808080"/>
        <w:spacing w:after="75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Задание 1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Рассчитайте сальдо по счету 50 «Касса» на конец дня, если на начало дня по счету числилось 45000 руб., а в течение дня произошли следующие операции:</w:t>
      </w:r>
    </w:p>
    <w:tbl>
      <w:tblPr>
        <w:tblW w:w="112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5010"/>
        <w:gridCol w:w="1170"/>
        <w:gridCol w:w="1170"/>
        <w:gridCol w:w="1170"/>
        <w:gridCol w:w="1170"/>
        <w:gridCol w:w="1185"/>
      </w:tblGrid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Содержание операции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Сумма в руб. по вариантам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 реализованную продукцию от покупателей поступила выручка в кассу в размере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70 000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49 000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Часть наличной выручки из кассы положили на расчетный счет в сумме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17 000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Подотчетному лицу было выдано из кассы на командировку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37 000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выдачи заработной платы с расчетного счета в кассу поступило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345 000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425 000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516 000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389 000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476 000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Выдана заработная плата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300 000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415 000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280 000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340 000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400 000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подотчетного лица оприходовали экономию денежных сре</w:t>
            </w:r>
            <w:proofErr w:type="gramStart"/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ассу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4 100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2 900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5 300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6 200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 кассы оплачен железнодорожный билет и услуги курьера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4 000</w:t>
            </w:r>
          </w:p>
        </w:tc>
      </w:tr>
    </w:tbl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Для решения задачи составьте бухгалтерские проводки по происходившим в течение дня операциям в журнале регистрации операций. Затем изобразите схематично счет 50 «Касса», укажите начальный остаток, суммы по операциям, подведите обороты и рассчитайте конечный остаток.</w:t>
      </w:r>
    </w:p>
    <w:p w:rsidR="003C5F37" w:rsidRPr="003C5F37" w:rsidRDefault="003C5F37" w:rsidP="003C5F37">
      <w:pPr>
        <w:shd w:val="clear" w:color="auto" w:fill="F04571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bookmarkStart w:id="3" w:name="8.1."/>
      <w:bookmarkStart w:id="4" w:name="i410"/>
      <w:bookmarkEnd w:id="3"/>
      <w:bookmarkEnd w:id="4"/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8.2.</w:t>
      </w:r>
    </w:p>
    <w:p w:rsidR="003C5F37" w:rsidRPr="003C5F37" w:rsidRDefault="003C5F37" w:rsidP="003C5F37">
      <w:pPr>
        <w:shd w:val="clear" w:color="auto" w:fill="808080"/>
        <w:spacing w:after="75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Задание 2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Составьте сложные проводки для отражения в учете следующих операций: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1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Со склада предприятия отпущены материалы в цех основного производства на сумму 185600 руб., на упаковку готовой продукции (расходы на продажу) - 24300 руб., на ремонт основных средств (в цех вспомогательного производства) - 17200 руб.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2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из полученной по итогам года прибыли предприятия (нераспределенной прибыли) начислены дивиденды учредителям - 215800 руб., сформирован резервный капитал - 140000 руб.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3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Акцептован счет поставщика: за поставленное оборудование, требующее монтажа - 687900 руб.; за оборудование, не требующее монтажа - 78960 руб. и за запасные части к приобретенному оборудованию - 42780 руб.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lastRenderedPageBreak/>
        <w:t>4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На расчетный счет предприятия зачислен краткосрочный банковский кредит под покупку материально-производственных запасов на сумму 750000 руб. и деньги от покупателей за проданную продукцию - 516870 руб.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5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Из заработной платы работника удержан налог на доходы физических лиц в размере 3120 руб. и в счет погашения займа, выданного ему организацией в прошлом году - 11200 руб.</w:t>
      </w:r>
    </w:p>
    <w:p w:rsidR="003C5F37" w:rsidRPr="003C5F37" w:rsidRDefault="003C5F37" w:rsidP="003C5F37">
      <w:pPr>
        <w:shd w:val="clear" w:color="auto" w:fill="F04571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bookmarkStart w:id="5" w:name="8.2."/>
      <w:bookmarkStart w:id="6" w:name="i416"/>
      <w:bookmarkEnd w:id="5"/>
      <w:bookmarkEnd w:id="6"/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8.3.</w:t>
      </w:r>
    </w:p>
    <w:p w:rsidR="003C5F37" w:rsidRPr="003C5F37" w:rsidRDefault="003C5F37" w:rsidP="003C5F37">
      <w:pPr>
        <w:shd w:val="clear" w:color="auto" w:fill="808080"/>
        <w:spacing w:after="75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Задание 3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1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 - Проверьте, правильно ли составлена запись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29,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10 на сумму 32000 руб. по хозяйственной операции «Для ну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жд всп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омогательного производства отпущены со склада материалы на сумму 32000 руб.»? Если есть ошибка, исправьте ее.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2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 - Найдите ошибку в бухгалтерских записях и исправьте ее в соответствии с правилами исправления записей в учетных регистрах. Бухгалтер сделал запись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71,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50 на сумму 14000 руб. по хозяйственной операции «В кассу предприятия поступили неизрасходованные командировочные от подотчетного лица в размере 14000 руб.».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3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 - Найдите ошибку в бухгалтерских записях и исправьте ее в соответствии с правилами исправления записей в учетных регистрах. Бухгалтер сделал запись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25,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70 на сумму 21500 руб. по хозяйственной операции «Начислена заработная плата общехозяйственному персоналу в размере 210500 руб.».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4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 - Найдите ошибку в бухгалтерских записях и исправьте ее в соответствии с правилами исправления записей в учетных регистрах. Бухгалтер сделал запись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43,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20 на сумму 467500 руб. по хозяйственной операции «Оприходована на склад готовая продукция, выпущенная из цеха № 2 основного производства на сумму 467000 руб.».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5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 - Найдите ошибку в бухгалтерских записях и исправьте ее в соответствии с правилами исправления записей в учетных регистрах. Бухгалтер сделал запись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10,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Кт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60 на сумму 170800 руб. по хозяйственной операции «Акцептованы счета поставщика за поставленные материалы на сумму 180800 руб.».</w:t>
      </w:r>
    </w:p>
    <w:p w:rsidR="003C5F37" w:rsidRPr="003C5F37" w:rsidRDefault="003C5F37" w:rsidP="003C5F37">
      <w:pPr>
        <w:shd w:val="clear" w:color="auto" w:fill="F04571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bookmarkStart w:id="7" w:name="8.3."/>
      <w:bookmarkStart w:id="8" w:name="i422"/>
      <w:bookmarkEnd w:id="7"/>
      <w:bookmarkEnd w:id="8"/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8.4.</w:t>
      </w:r>
    </w:p>
    <w:p w:rsidR="003C5F37" w:rsidRPr="003C5F37" w:rsidRDefault="003C5F37" w:rsidP="003C5F37">
      <w:pPr>
        <w:shd w:val="clear" w:color="auto" w:fill="808080"/>
        <w:spacing w:after="75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Задание 4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Составьте бухгалтерские проводки, определите тип хозяйственной операции и влияние операции на бухгалтерский баланс. Решение осуществите в следующей таблице:</w:t>
      </w:r>
    </w:p>
    <w:tbl>
      <w:tblPr>
        <w:tblW w:w="112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879"/>
        <w:gridCol w:w="1557"/>
        <w:gridCol w:w="1574"/>
        <w:gridCol w:w="1580"/>
        <w:gridCol w:w="1672"/>
        <w:gridCol w:w="1600"/>
      </w:tblGrid>
      <w:tr w:rsidR="003C5F37" w:rsidRPr="003C5F37" w:rsidTr="003C5F37">
        <w:trPr>
          <w:tblCellSpacing w:w="15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Содержание операции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Тип операции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Место</w:t>
            </w: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br/>
              <w:t>возникновения</w:t>
            </w: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br/>
              <w:t>изменений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t>Влияние</w:t>
            </w: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br/>
              <w:t>на валюту</w:t>
            </w:r>
            <w:r w:rsidRPr="003C5F3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ru-RU"/>
              </w:rPr>
              <w:br/>
              <w:t>баланса</w:t>
            </w:r>
          </w:p>
        </w:tc>
      </w:tr>
      <w:tr w:rsidR="003C5F37" w:rsidRPr="003C5F37" w:rsidTr="003C5F37">
        <w:trPr>
          <w:tblCellSpacing w:w="15" w:type="dxa"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vAlign w:val="center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hideMark/>
          </w:tcPr>
          <w:p w:rsidR="003C5F37" w:rsidRPr="003C5F37" w:rsidRDefault="003C5F37" w:rsidP="003C5F3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Пример. Учтена недостача готовой продукции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94</w:t>
            </w:r>
            <w:proofErr w:type="gramStart"/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А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43</w:t>
            </w:r>
            <w:proofErr w:type="gramStart"/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А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+А-А</w:t>
            </w: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I тип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активе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hideMark/>
          </w:tcPr>
          <w:p w:rsidR="003C5F37" w:rsidRPr="003C5F37" w:rsidRDefault="003C5F37" w:rsidP="003C5F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валюта баланса не изменяется, операция </w:t>
            </w:r>
            <w:proofErr w:type="spellStart"/>
            <w:r w:rsidRPr="003C5F3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пермутация</w:t>
            </w:r>
            <w:proofErr w:type="spellEnd"/>
          </w:p>
        </w:tc>
      </w:tr>
    </w:tbl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1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операции: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Начислены дивиденды акционерам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 расчетного счета открыт аккредитив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Из кассы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выдан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сотруднику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займ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сроком на два года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Из основного производства выпущен неисправимый брак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Часть неисправимого брака оприходована в качестве материалов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lastRenderedPageBreak/>
        <w:t>Выпущена из производства готовая продукция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Списаны товары, используемые в рекламных целях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Приобретены акции, оплаченные с расчетного счета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Получен аванс от заказчика</w:t>
      </w:r>
    </w:p>
    <w:p w:rsidR="003C5F37" w:rsidRPr="003C5F37" w:rsidRDefault="003C5F37" w:rsidP="003C5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Погашена задолженность перед бюджетом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2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операции: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Поступили наличные деньги за проданную продукцию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Начислена заработная плата рабочим основного производства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Зарплата выдана из кассы предприятия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Акцептован счет поставщика за поступившие полуфабрикаты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Общепроизводственные расходы списаны на затраты основного производства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Получена прибыль от продажи продукции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 расчетного счета погашен долгосрочный банковский кредит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Подотчетное лицо вернуло деньги в кассу предприятия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Материалы поступили во вспомогательное производство</w:t>
      </w:r>
    </w:p>
    <w:p w:rsidR="003C5F37" w:rsidRPr="003C5F37" w:rsidRDefault="003C5F37" w:rsidP="003C5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Сформирован резервный капитал из нераспределенной прибыли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3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операции: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Выявлена при инвентаризации кассы недостача денежных документов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Выданы из кассы суммы единовременной помощи работникам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Погашена задолженность с расчетного счета по долгосрочному банковскому кредиту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Выставлен аккредитив за счет средств расчетного счета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Оплачена за счет аккредитива задолженность поставщикам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Неиспользованная сумма аккредитива направлена на восстановление расчетного счета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Начислена заработная плата рабочим основного производства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Общепроизводственные расходы списаны на затраты основного производства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Получена прибыль от продажи продукции</w:t>
      </w:r>
    </w:p>
    <w:p w:rsidR="003C5F37" w:rsidRPr="003C5F37" w:rsidRDefault="003C5F37" w:rsidP="003C5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Предъявлены претензии поставщикам за обнаруженную недостачу материалов при их приемке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4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операции: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Оприходованы материалы, оплаченные из подотчетных сумм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 расчетного счета погашена задолженность перед поставщиками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 кассу с расчетного счета поступили денежные средства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Общехозяйственные расходы отнесены на затраты основного производства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Начислены взносы по пенсионному, медицинскому и социальному страхованию с зарплаты основных производственных рабочих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От покупателей поступили на склад материалы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Сформирован уставный капитал организации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Из кассы деньги возвращены на расчетный счет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Получен убыток от продажи продукции</w:t>
      </w:r>
    </w:p>
    <w:p w:rsidR="003C5F37" w:rsidRPr="003C5F37" w:rsidRDefault="003C5F37" w:rsidP="003C5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Доходы будущих периодов отнесены на прочие доходы отчетного периода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0015AF"/>
          <w:sz w:val="19"/>
          <w:szCs w:val="19"/>
          <w:shd w:val="clear" w:color="auto" w:fill="E8E8E6"/>
          <w:lang w:eastAsia="ru-RU"/>
        </w:rPr>
        <w:t>5 вариант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 - операции: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Учтена выручка за проданную продукцию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Из вспомогательного производства на склад возвращены материалы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Выпущен из основного производства брак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 валютного счета погашена задолженность перед иностранным поставщиком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 кассу поступили денежные средства от покупателя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На расчетный счет поступили денежные средства от учредителей в качестве взноса в уставный капитал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Учтена недостача готовой продукции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Общехозяйственные расходы списаны на продажи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Начислена заработная плата общепроизводственному персоналу</w:t>
      </w:r>
    </w:p>
    <w:p w:rsidR="003C5F37" w:rsidRPr="003C5F37" w:rsidRDefault="003C5F37" w:rsidP="003C5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Резервный капитал направлен на погашение непокрытого убытка прошлого года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lastRenderedPageBreak/>
        <w:t>В конце работы обучающийся должен указать перечень использованной в контрольной работе литературы.</w:t>
      </w:r>
    </w:p>
    <w:p w:rsidR="003C5F37" w:rsidRPr="003C5F37" w:rsidRDefault="003C5F37" w:rsidP="003C5F37">
      <w:pPr>
        <w:shd w:val="clear" w:color="auto" w:fill="F04571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bookmarkStart w:id="9" w:name="8.4."/>
      <w:bookmarkStart w:id="10" w:name="i484"/>
      <w:bookmarkEnd w:id="9"/>
      <w:bookmarkEnd w:id="10"/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8.5.</w:t>
      </w:r>
    </w:p>
    <w:p w:rsidR="003C5F37" w:rsidRPr="003C5F37" w:rsidRDefault="003C5F37" w:rsidP="003C5F37">
      <w:pPr>
        <w:shd w:val="clear" w:color="auto" w:fill="808080"/>
        <w:spacing w:after="75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3C5F37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Требования, предъявляемые к оформлению контрольной работы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bookmarkStart w:id="11" w:name="8.5.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Контрольная работа должна находиться в папке со скоросшивателем. Листы работы не должны быть вставлены в файлы, так как это затрудняет проверку.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Текст контрольной работы представляется на стандартных листах формата А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4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на компьютере шрифтом гарнитуры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Times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New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Roman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кеглем 14 пунктов через 1,5 интервала. Объем контрольной работы составляет 15</w:t>
      </w: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&lt;?xml version=&quot;1.0&quot;?&gt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&lt;?xml version=&quot;1.0&quot;?&gt;&#10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Q23Fr9wIA&#10;APs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20 страниц.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Текст контрольной работы следует печатать с соблюдением следующего размера полей: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левое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- 30 мм;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правое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- 10 мм;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верхнее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- 20 мм;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нижнее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- 20 мм.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Величина абзацного отступа - 1,25 сантиметра. Выравнивание текста в пределах абзаца - по ширине. При наборе текста допускается использование функции автоматической расстановки переносов.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Нумерация страниц контрольной работы производится арабскими цифрами в центре нижней части листа без точки и начинается с титульного листа, но на самом титульном листе номер страницы не проставляется.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Заголовки структурных элементов контрольной работы «СОДЕРЖАНИЕ», «ВВЕДЕНИЕ», «ЗАКЛЮЧЕНИЕ», «БИБЛИОГРАФИЧЕСКИЙ СПИСОК», «ПРИЛОЖЕНИЯ» печатаются жирным шрифтом прописными буквами и записываются с абзацного отступа с новой страницы. Разделы нумеруются арабскими цифрами (точка после номера раздела не ставится), а их наименование печатается жирным шрифтом прописными буквами с абзацного отступа. Выравнивание заголовков разделов работы следует делать по левому краю. Номера подразделов включают номер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раздела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и порядковый номер соответствующего подраздела в рамках раздела, разделенные точкой. После номера подраздела перед его заголовком точку не ставят. Заголовки подразделов печатаются строчными буквами, выделяются жирным шрифтом и записываются с абзацного отступа. Выравнивание заголовков подразделов контрольной работы производится по левому краю.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Иллюстрации в контрольной работе (графики, схемы, диаграммы, чертежи, рисунки) следует располагать непосредственно после текста, в котором они упоминаются впервые, или на следующей странице. Все иллюстрации в работе именуются рисунками. На все имеющиеся в контрольной работе рисунки по тексту работы обязательно должны быть даны ссылки. Рисунки должны иметь сквозную нумерацию в пределах раздела арабскими цифрами. При этом номер рисунка состоит из номера раздела и порядкового номера рисунка,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разделенных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точкой. Рисунки обязательно должны иметь наименования. Номер рисунка отделяется от его наименования с помощью тире. Номер и наименование помещаются после рисунка и центрируются. Точка в конце наименования рисунка не ставится.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Таблицы следует располагать непосредственно после текста, в котором они упоминаются впервые, или на следующей странице. Таблицы в контрольной работе следует нумеровать арабскими цифрами в пределах раздела. Номер таблицы в этом случае состоит из номера раздела и порядкового номера таблицы,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разделенных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точкой. Название таблицы должно отражать её содержание, быть точным и кратким. Название таблицы следует помещать над таблицей слева, без абзацного отступа в одну строку с её номером через тире. Точка в конце таблицы не ставится. При переносе части таблицы на другую страницу слово «Таблица», её номер и название указывают один раз над первой частью таблицы, над другими частями пишут слово «Продолжение» или «Окончание» и указывают номер таблицы. При переносе таблицы на другую страницу заголовок (шапку) таблицы помещают только над её первой частью.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Формулы в контрольной работе выделяются из текста отдельной строкой. Пояснение значений символов и числовых коэффициентов следует приводить непосредственно </w:t>
      </w: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lastRenderedPageBreak/>
        <w:t xml:space="preserve">под формулой в той же последовательности, в которой она дана в формуле. Формулы нумеруются арабскими цифрами в пределах раздела контрольной работы. </w:t>
      </w:r>
      <w:proofErr w:type="gram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Номер формулы в этом случае состоит из номера раздела и порядкового номера формулы, разделенных точкой, и указывается в круглых скобках в крайнем правом положении на строке.</w:t>
      </w:r>
      <w:proofErr w:type="gram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Для корректного набора формул в работе рекомендуется пользоваться специальным редактором формул Microsoft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Equation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, входящим в стандартную поставку программного пакета Microsoft </w:t>
      </w:r>
      <w:proofErr w:type="spellStart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Office</w:t>
      </w:r>
      <w:proofErr w:type="spellEnd"/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При написании контрольной работы бакалавр обязан делать ссылки на используемые им литературные источники и нормативно-правовой материал. Ссылки на содержащиеся в библиографическом списке источники оформляются непосредственно по тексту контрольной работы в квадратных скобках с указанием номера источника в библиографическом списке и страниц, на которых содержится цитируемый материал.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Работа должна содержать: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титульный лист;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содержание;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введение;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основная часть;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заключение;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библиографический список;</w:t>
      </w:r>
    </w:p>
    <w:p w:rsidR="003C5F37" w:rsidRPr="003C5F37" w:rsidRDefault="003C5F37" w:rsidP="003C5F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приложения (если есть).</w:t>
      </w:r>
    </w:p>
    <w:p w:rsidR="003C5F37" w:rsidRPr="003C5F37" w:rsidRDefault="003C5F37" w:rsidP="003C5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Работа подписывается бакалавром (на титульном листе) напротив своих инициалов перед сдачей её преподавателю.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 случае невыполнения требований, предъявляемых к оформлению контрольной работы, преподаватель возвращает бакалавру работу на доработку. Если замечания, сделанные преподавателем, не устранены, то преподаватель имеет право не допустить обучающего до защиты контрольной работы, сдачи экзамена по дисциплине.</w:t>
      </w:r>
    </w:p>
    <w:p w:rsidR="003C5F37" w:rsidRPr="003C5F37" w:rsidRDefault="003C5F37" w:rsidP="003C5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3C5F37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После успешной защиты контрольной работы бакалавры дистанционной формы обучения допускаются к сдаче экзамена по дисциплине.</w:t>
      </w:r>
    </w:p>
    <w:bookmarkEnd w:id="11"/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959"/>
    <w:multiLevelType w:val="multilevel"/>
    <w:tmpl w:val="8030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33840"/>
    <w:multiLevelType w:val="multilevel"/>
    <w:tmpl w:val="5720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60B8"/>
    <w:multiLevelType w:val="multilevel"/>
    <w:tmpl w:val="868E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D6543"/>
    <w:multiLevelType w:val="multilevel"/>
    <w:tmpl w:val="F9E2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B7083"/>
    <w:multiLevelType w:val="multilevel"/>
    <w:tmpl w:val="4DD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54A9B"/>
    <w:multiLevelType w:val="multilevel"/>
    <w:tmpl w:val="CAB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639E9"/>
    <w:multiLevelType w:val="multilevel"/>
    <w:tmpl w:val="BB34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37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C5F37"/>
    <w:rsid w:val="003D5407"/>
    <w:rsid w:val="003E0C86"/>
    <w:rsid w:val="003E3634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3C5F37"/>
  </w:style>
  <w:style w:type="character" w:customStyle="1" w:styleId="a4">
    <w:name w:val="выделение"/>
    <w:basedOn w:val="a0"/>
    <w:rsid w:val="003C5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3C5F37"/>
  </w:style>
  <w:style w:type="character" w:customStyle="1" w:styleId="a4">
    <w:name w:val="выделение"/>
    <w:basedOn w:val="a0"/>
    <w:rsid w:val="003C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2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321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1241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70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13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2018-06-04T11:44:00Z</dcterms:created>
  <dcterms:modified xsi:type="dcterms:W3CDTF">2018-06-04T11:46:00Z</dcterms:modified>
</cp:coreProperties>
</file>